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BDF" w:rsidRDefault="00ED40D1" w:rsidP="00ED40D1">
      <w:pPr>
        <w:jc w:val="both"/>
      </w:pPr>
      <w:r>
        <w:rPr>
          <w:rStyle w:val="fontstyle01"/>
        </w:rPr>
        <w:t>5 Методика проведения статистического приемочного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Style w:val="fontstyle01"/>
        </w:rPr>
        <w:t xml:space="preserve">контроля по </w:t>
      </w:r>
      <w:bookmarkStart w:id="0" w:name="_GoBack"/>
      <w:bookmarkEnd w:id="0"/>
      <w:r>
        <w:rPr>
          <w:rStyle w:val="fontstyle01"/>
        </w:rPr>
        <w:t>альтернативному признаку</w:t>
      </w:r>
    </w:p>
    <w:sectPr w:rsidR="007C5B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0D1"/>
    <w:rsid w:val="00315B7A"/>
    <w:rsid w:val="007C5BDF"/>
    <w:rsid w:val="00ED4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7E453"/>
  <w15:chartTrackingRefBased/>
  <w15:docId w15:val="{61F7C19D-4C39-4B31-B85E-10D1D0FBB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ED40D1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2022-12-14T15:07:00Z</dcterms:created>
  <dcterms:modified xsi:type="dcterms:W3CDTF">2022-12-14T15:07:00Z</dcterms:modified>
</cp:coreProperties>
</file>